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1D" w:rsidRPr="00BF6BC3" w:rsidRDefault="00264E1D" w:rsidP="00264E1D">
      <w:pPr>
        <w:spacing w:line="560" w:lineRule="exact"/>
        <w:rPr>
          <w:rFonts w:ascii="黑体" w:eastAsia="黑体" w:hAnsi="黑体" w:cs="宋体"/>
          <w:sz w:val="32"/>
          <w:szCs w:val="32"/>
        </w:rPr>
      </w:pPr>
      <w:r w:rsidRPr="00BF6BC3">
        <w:rPr>
          <w:rFonts w:ascii="黑体" w:eastAsia="黑体" w:hAnsi="黑体" w:cs="宋体" w:hint="eastAsia"/>
          <w:sz w:val="32"/>
          <w:szCs w:val="32"/>
        </w:rPr>
        <w:t>附件1</w:t>
      </w:r>
    </w:p>
    <w:p w:rsidR="00264E1D" w:rsidRDefault="00264E1D" w:rsidP="00264E1D">
      <w:pPr>
        <w:spacing w:before="240" w:line="660" w:lineRule="exact"/>
        <w:jc w:val="center"/>
        <w:rPr>
          <w:rFonts w:ascii="方正小标宋简体" w:eastAsia="方正小标宋简体"/>
          <w:sz w:val="44"/>
          <w:szCs w:val="44"/>
        </w:rPr>
      </w:pPr>
      <w:r w:rsidRPr="002A24FB">
        <w:rPr>
          <w:rFonts w:ascii="方正小标宋简体" w:eastAsia="方正小标宋简体" w:hint="eastAsia"/>
          <w:sz w:val="44"/>
          <w:szCs w:val="44"/>
        </w:rPr>
        <w:t>2020年度国家知识产权局软科学</w:t>
      </w:r>
    </w:p>
    <w:p w:rsidR="00264E1D" w:rsidRPr="002A24FB" w:rsidRDefault="00264E1D" w:rsidP="00264E1D">
      <w:pPr>
        <w:spacing w:line="660" w:lineRule="exact"/>
        <w:jc w:val="center"/>
        <w:rPr>
          <w:rFonts w:ascii="方正小标宋简体" w:eastAsia="方正小标宋简体"/>
          <w:sz w:val="44"/>
          <w:szCs w:val="44"/>
        </w:rPr>
      </w:pPr>
      <w:r w:rsidRPr="002A24FB">
        <w:rPr>
          <w:rFonts w:ascii="方正小标宋简体" w:eastAsia="方正小标宋简体" w:hint="eastAsia"/>
          <w:sz w:val="44"/>
          <w:szCs w:val="44"/>
        </w:rPr>
        <w:t>研究项目申报指南</w:t>
      </w:r>
    </w:p>
    <w:p w:rsidR="00264E1D" w:rsidRDefault="00264E1D" w:rsidP="00264E1D">
      <w:pPr>
        <w:spacing w:line="560" w:lineRule="exact"/>
        <w:ind w:firstLineChars="200" w:firstLine="640"/>
        <w:rPr>
          <w:rFonts w:ascii="仿宋_GB2312" w:eastAsia="仿宋_GB2312" w:hAnsi="宋体" w:cs="宋体"/>
          <w:sz w:val="32"/>
          <w:szCs w:val="32"/>
        </w:rPr>
      </w:pPr>
    </w:p>
    <w:p w:rsidR="00264E1D" w:rsidRDefault="00264E1D" w:rsidP="00264E1D">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一、总体目标</w:t>
      </w:r>
    </w:p>
    <w:p w:rsidR="00264E1D" w:rsidRPr="00596308" w:rsidRDefault="00264E1D" w:rsidP="00264E1D">
      <w:pPr>
        <w:spacing w:line="560" w:lineRule="exact"/>
        <w:ind w:firstLineChars="200" w:firstLine="640"/>
        <w:rPr>
          <w:rFonts w:ascii="仿宋_GB2312" w:eastAsia="仿宋_GB2312" w:hAnsi="仿宋_GB2312"/>
          <w:spacing w:val="-6"/>
          <w:sz w:val="32"/>
          <w:szCs w:val="32"/>
        </w:rPr>
      </w:pPr>
      <w:r>
        <w:rPr>
          <w:rFonts w:ascii="仿宋_GB2312" w:eastAsia="仿宋_GB2312" w:hAnsi="仿宋_GB2312" w:cs="仿宋_GB2312" w:hint="eastAsia"/>
          <w:sz w:val="32"/>
          <w:szCs w:val="32"/>
        </w:rPr>
        <w:t>以习近平新时代中国特色社会主义思想为指导，深入贯彻落实党的十九大和十九届二中、三中、四中全会精神，围绕党中央、国务院决策部署，聚焦知识产权制度运行、战略施行、法律执行、改革推行中的重点、难点问题，开展深入的理论和实践问题研究，着力形成有学术创新价值和应用对策价值的研究成果，为提高知</w:t>
      </w:r>
      <w:r w:rsidRPr="00596308">
        <w:rPr>
          <w:rFonts w:ascii="仿宋_GB2312" w:eastAsia="仿宋_GB2312" w:hAnsi="仿宋_GB2312" w:cs="仿宋_GB2312" w:hint="eastAsia"/>
          <w:spacing w:val="-6"/>
          <w:sz w:val="32"/>
          <w:szCs w:val="32"/>
        </w:rPr>
        <w:t>识产权治理能力和治理水平，加快建设知识产权强国提供有力支撑。</w:t>
      </w:r>
    </w:p>
    <w:p w:rsidR="00264E1D" w:rsidRDefault="00264E1D" w:rsidP="00264E1D">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二、申报要求</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（一）要围绕项目总体目标，坚持理论研究与应用对策研究相结合，注重针对性和实用性，力求创新性和前瞻性，通过深入分析和调查研究，提出具有参考价值的对策建议。</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（二）可以根据本指南提出的重点研究方向拟定具体题目申报，也可自行选题申报。</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（三）申报单位必须是法人（单位）。可两家单位（不超过两家）共同申报，但须确定一家牵头单位。</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（四）每个申报项目的负责人不超过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人，研究团队原则上不超过</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人（含负责人）。同一负责人只能申报一个项目。在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lastRenderedPageBreak/>
        <w:t>的国家知识产权局软科学研究项目尚未结题的，该项目负责人原则上不能申报新项目。</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（五）申报单位和负责人以往承担的国家知识产权局软科学研究项目无不良信用记录。</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（六）项目</w:t>
      </w:r>
      <w:bookmarkStart w:id="0" w:name="_GoBack"/>
      <w:bookmarkEnd w:id="0"/>
      <w:r>
        <w:rPr>
          <w:rFonts w:ascii="仿宋_GB2312" w:eastAsia="仿宋_GB2312" w:hAnsi="仿宋_GB2312" w:cs="仿宋_GB2312" w:hint="eastAsia"/>
          <w:sz w:val="32"/>
          <w:szCs w:val="32"/>
        </w:rPr>
        <w:t>研究时间期限一般为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p>
    <w:p w:rsidR="00264E1D" w:rsidRDefault="00264E1D" w:rsidP="00264E1D">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三、重点研究方向</w:t>
      </w:r>
    </w:p>
    <w:p w:rsidR="00264E1D" w:rsidRDefault="00264E1D" w:rsidP="00264E1D">
      <w:pPr>
        <w:spacing w:line="560" w:lineRule="exact"/>
        <w:ind w:firstLineChars="200" w:firstLine="643"/>
        <w:rPr>
          <w:rFonts w:ascii="楷体_GB2312" w:eastAsia="楷体_GB2312" w:hAnsi="楷体_GB2312"/>
          <w:b/>
          <w:bCs/>
          <w:sz w:val="32"/>
          <w:szCs w:val="32"/>
        </w:rPr>
      </w:pPr>
      <w:r>
        <w:rPr>
          <w:rFonts w:ascii="楷体_GB2312" w:eastAsia="楷体_GB2312" w:hAnsi="楷体_GB2312" w:cs="楷体_GB2312" w:hint="eastAsia"/>
          <w:b/>
          <w:bCs/>
          <w:sz w:val="32"/>
          <w:szCs w:val="32"/>
        </w:rPr>
        <w:t>（一）推进知识产权治理体系和治理能力现代化研究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．知识产权领域中央与地方事权及责任划分研究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知识产权与区域发展战略协同研究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知识产权与产业政策深度融合研究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突发公共卫生事件下知识产权应急制度与对策研究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促进医药产品创新和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及的知识产权策略研究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知识产权公共服务和服务业发展模式研究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知识产权多元主体共同治理模式研究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知识产权文化治理路径研究</w:t>
      </w:r>
    </w:p>
    <w:p w:rsidR="00264E1D" w:rsidRDefault="00264E1D" w:rsidP="00264E1D">
      <w:pPr>
        <w:spacing w:line="560" w:lineRule="exact"/>
        <w:ind w:firstLineChars="200" w:firstLine="643"/>
        <w:rPr>
          <w:rFonts w:ascii="楷体_GB2312" w:eastAsia="楷体_GB2312" w:hAnsi="楷体_GB2312"/>
          <w:b/>
          <w:bCs/>
          <w:sz w:val="32"/>
          <w:szCs w:val="32"/>
        </w:rPr>
      </w:pPr>
      <w:r>
        <w:rPr>
          <w:rFonts w:ascii="楷体_GB2312" w:eastAsia="楷体_GB2312" w:hAnsi="楷体_GB2312" w:cs="楷体_GB2312" w:hint="eastAsia"/>
          <w:b/>
          <w:bCs/>
          <w:sz w:val="32"/>
          <w:szCs w:val="32"/>
        </w:rPr>
        <w:t>（二）知识产权制度性问题研究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制定知识产权基本法必要性、可行性研究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地方知识产权综合立法理论与实践研究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数据产权的界定与保护研究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人工智能等新技术新领域知识产权保护模式研究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地理标志保护立法研究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完善商标权使用制度研究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lastRenderedPageBreak/>
        <w:t>7．</w:t>
      </w:r>
      <w:r>
        <w:rPr>
          <w:rFonts w:ascii="仿宋_GB2312" w:eastAsia="仿宋_GB2312" w:hAnsi="仿宋_GB2312" w:cs="仿宋_GB2312" w:hint="eastAsia"/>
          <w:sz w:val="32"/>
          <w:szCs w:val="32"/>
        </w:rPr>
        <w:t>商标与地理标志协调发展研究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商业秘密保护规则研究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重大科学工程项目知识产权管理模式研究</w:t>
      </w:r>
    </w:p>
    <w:p w:rsidR="00264E1D" w:rsidRDefault="00264E1D" w:rsidP="00264E1D">
      <w:pPr>
        <w:spacing w:line="560" w:lineRule="exact"/>
        <w:ind w:firstLineChars="200" w:firstLine="643"/>
        <w:rPr>
          <w:rFonts w:ascii="楷体_GB2312" w:eastAsia="楷体_GB2312" w:hAnsi="楷体_GB2312"/>
          <w:b/>
          <w:bCs/>
          <w:sz w:val="32"/>
          <w:szCs w:val="32"/>
        </w:rPr>
      </w:pPr>
      <w:r>
        <w:rPr>
          <w:rFonts w:ascii="楷体_GB2312" w:eastAsia="楷体_GB2312" w:hAnsi="楷体_GB2312" w:cs="楷体_GB2312" w:hint="eastAsia"/>
          <w:b/>
          <w:bCs/>
          <w:sz w:val="32"/>
          <w:szCs w:val="32"/>
        </w:rPr>
        <w:t>（三）知识产权保护相关问题研究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跨境电商知识产权保护规则研究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利用技术手段强化知识产权保护研究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知识产权司法鉴定专业化、规范化研究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海外知识产权纠纷防范应对机制研究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知识产权纠纷多元化解决理论与实务研究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知识产权保护中心运营与管理研究</w:t>
      </w:r>
    </w:p>
    <w:p w:rsidR="00264E1D" w:rsidRDefault="00264E1D" w:rsidP="00264E1D">
      <w:pPr>
        <w:spacing w:line="540" w:lineRule="exact"/>
        <w:ind w:firstLineChars="200" w:firstLine="643"/>
        <w:rPr>
          <w:rFonts w:ascii="楷体_GB2312" w:eastAsia="楷体_GB2312" w:hAnsi="楷体_GB2312"/>
          <w:b/>
          <w:bCs/>
          <w:sz w:val="32"/>
          <w:szCs w:val="32"/>
        </w:rPr>
      </w:pPr>
      <w:r>
        <w:rPr>
          <w:rFonts w:ascii="楷体_GB2312" w:eastAsia="楷体_GB2312" w:hAnsi="楷体_GB2312" w:cs="楷体_GB2312" w:hint="eastAsia"/>
          <w:b/>
          <w:bCs/>
          <w:sz w:val="32"/>
          <w:szCs w:val="32"/>
        </w:rPr>
        <w:t>（四）知识产权运用相关问题研究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高价值专利培育规范化标准化研究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提升高校专利质量促进转化运用相关问题研究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军民融合中知识产权权利归属与利益分配研究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地理标志产品产值统计方法研究</w:t>
      </w:r>
    </w:p>
    <w:p w:rsidR="00264E1D" w:rsidRDefault="00264E1D" w:rsidP="00264E1D">
      <w:pPr>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外国在华知识产权收益状况研究</w:t>
      </w:r>
    </w:p>
    <w:p w:rsidR="00264E1D" w:rsidRDefault="00264E1D" w:rsidP="00264E1D">
      <w:pPr>
        <w:spacing w:line="560" w:lineRule="exact"/>
        <w:ind w:firstLineChars="200" w:firstLine="643"/>
        <w:rPr>
          <w:rFonts w:ascii="楷体_GB2312" w:eastAsia="楷体_GB2312" w:hAnsi="楷体_GB2312"/>
          <w:b/>
          <w:bCs/>
          <w:sz w:val="32"/>
          <w:szCs w:val="32"/>
        </w:rPr>
      </w:pPr>
      <w:r>
        <w:rPr>
          <w:rFonts w:ascii="楷体_GB2312" w:eastAsia="楷体_GB2312" w:hAnsi="楷体_GB2312" w:cs="楷体_GB2312" w:hint="eastAsia"/>
          <w:b/>
          <w:bCs/>
          <w:sz w:val="32"/>
          <w:szCs w:val="32"/>
        </w:rPr>
        <w:t>（五）知识产权人才相关问题研究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知识产权人才培养新模式研究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知识产权人才培养规范化标准化研究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知识产权人才职称评价标准与工作机制研究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知识产权人才发展评价及监测体系研究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知识产权专业学位建设研究</w:t>
      </w:r>
    </w:p>
    <w:p w:rsidR="00264E1D" w:rsidRDefault="00264E1D" w:rsidP="00264E1D">
      <w:pPr>
        <w:spacing w:line="560" w:lineRule="exact"/>
        <w:ind w:firstLineChars="200" w:firstLine="640"/>
        <w:rPr>
          <w:rFonts w:ascii="楷体_GB2312" w:eastAsia="楷体_GB2312" w:hAnsi="楷体_GB2312"/>
          <w:b/>
          <w:bCs/>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涉外机构中知识产权相关岗位人力资源状况研究</w:t>
      </w:r>
    </w:p>
    <w:p w:rsidR="00264E1D" w:rsidRDefault="00264E1D" w:rsidP="00264E1D">
      <w:pPr>
        <w:spacing w:line="560" w:lineRule="exact"/>
        <w:ind w:firstLineChars="200" w:firstLine="643"/>
        <w:rPr>
          <w:rFonts w:ascii="楷体_GB2312" w:eastAsia="楷体_GB2312" w:hAnsi="楷体_GB2312"/>
          <w:b/>
          <w:bCs/>
          <w:sz w:val="32"/>
          <w:szCs w:val="32"/>
        </w:rPr>
      </w:pPr>
      <w:r>
        <w:rPr>
          <w:rFonts w:ascii="楷体_GB2312" w:eastAsia="楷体_GB2312" w:hAnsi="楷体_GB2312" w:cs="楷体_GB2312" w:hint="eastAsia"/>
          <w:b/>
          <w:bCs/>
          <w:sz w:val="32"/>
          <w:szCs w:val="32"/>
        </w:rPr>
        <w:lastRenderedPageBreak/>
        <w:t>（六）知识产权国际合作相关问题研究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知识产权国际规则发展趋势与对策研究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主要国家和地区知识产权法律政策动态跟踪研究</w:t>
      </w:r>
    </w:p>
    <w:p w:rsidR="00264E1D" w:rsidRDefault="00264E1D" w:rsidP="00264E1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新形势下参与知识产权全球治理策略研究</w:t>
      </w:r>
    </w:p>
    <w:p w:rsidR="00264E1D" w:rsidRDefault="00264E1D" w:rsidP="00264E1D">
      <w:pPr>
        <w:spacing w:line="48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知识产权国际谈判策略研究</w:t>
      </w:r>
    </w:p>
    <w:p w:rsidR="00264E1D" w:rsidRDefault="00264E1D" w:rsidP="00264E1D">
      <w:pPr>
        <w:spacing w:line="48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知识产权域外适用问题研究</w:t>
      </w:r>
    </w:p>
    <w:p w:rsidR="00E24C70" w:rsidRPr="00264E1D" w:rsidRDefault="00E24C70"/>
    <w:sectPr w:rsidR="00E24C70" w:rsidRPr="00264E1D" w:rsidSect="00264E1D">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4E1D"/>
    <w:rsid w:val="00264E1D"/>
    <w:rsid w:val="00E24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danganshi</dc:creator>
  <cp:lastModifiedBy>danganshi</cp:lastModifiedBy>
  <cp:revision>1</cp:revision>
  <dcterms:created xsi:type="dcterms:W3CDTF">2020-04-03T08:35:00Z</dcterms:created>
  <dcterms:modified xsi:type="dcterms:W3CDTF">2020-04-03T08:36:00Z</dcterms:modified>
</cp:coreProperties>
</file>